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9"/>
        <w:ind w:left="6379" w:hanging="6379"/>
        <w:jc w:val="both"/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СО ТЗ.0002</w:t>
      </w:r>
      <w:r>
        <w:rPr>
          <w:rFonts w:ascii="Times New Roman" w:hAnsi="Times New Roman"/>
          <w:u w:val="single"/>
        </w:rPr>
      </w:r>
      <w:r>
        <w:rPr>
          <w:rFonts w:ascii="Times New Roman" w:hAnsi="Times New Roman"/>
          <w:u w:val="single"/>
        </w:rPr>
      </w:r>
    </w:p>
    <w:p>
      <w:pPr>
        <w:pStyle w:val="839"/>
        <w:jc w:val="center"/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УТВЕРЖДАЮ: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39"/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З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аместитель генерального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39"/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                  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                                                                                      директора по техническим 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39"/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                                                                                                          вопросам – главный         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39"/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    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                                                                                                    инженер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39"/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ab/>
        <w:tab/>
        <w:t xml:space="preserve">___________/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Таранков А.И.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39"/>
        <w:jc w:val="center"/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«___»___________ 2</w:t>
      </w:r>
      <w:r>
        <w:rPr>
          <w:rFonts w:ascii="Times New Roman" w:hAnsi="Times New Roman"/>
          <w:sz w:val="26"/>
          <w:szCs w:val="26"/>
        </w:rPr>
        <w:t xml:space="preserve">02</w:t>
      </w:r>
      <w:r>
        <w:rPr>
          <w:rFonts w:ascii="Times New Roman" w:hAnsi="Times New Roman"/>
          <w:sz w:val="26"/>
          <w:szCs w:val="26"/>
        </w:rPr>
        <w:t xml:space="preserve">5г.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39"/>
        <w:spacing w:after="0" w:line="240" w:lineRule="auto"/>
        <w:tabs>
          <w:tab w:val="left" w:pos="680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металло</w:t>
      </w:r>
      <w:r>
        <w:rPr>
          <w:rFonts w:ascii="Times New Roman CYR" w:hAnsi="Times New Roman CYR" w:cs="Times New Roman CYR"/>
          <w:sz w:val="26"/>
          <w:szCs w:val="26"/>
        </w:rPr>
        <w:t xml:space="preserve">оснастки ЛЭП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>
        <w:rPr>
          <w:rFonts w:ascii="Times New Roman CYR" w:hAnsi="Times New Roman CYR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поставка металлооснастки ЛЭП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Продукции.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</w:t>
      </w:r>
      <w:r>
        <w:rPr>
          <w:rFonts w:ascii="Times New Roman CYR" w:hAnsi="Times New Roman CYR" w:cs="Times New Roman CYR"/>
          <w:sz w:val="26"/>
          <w:szCs w:val="26"/>
        </w:rPr>
        <w:t xml:space="preserve">оставки: Центральный склад, г. Кызыл, ул. Колхозная, 2</w:t>
      </w:r>
      <w:r>
        <w:rPr>
          <w:rFonts w:ascii="Times New Roman CYR" w:hAnsi="Times New Roman CYR" w:cs="Times New Roman CYR"/>
          <w:sz w:val="26"/>
          <w:szCs w:val="26"/>
        </w:rPr>
        <w:t xml:space="preserve">б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до места поставки силами и средствами поставщика.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</w:t>
      </w:r>
      <w:r>
        <w:rPr>
          <w:rFonts w:ascii="Times New Roman CYR" w:hAnsi="Times New Roman CYR" w:cs="Times New Roman CYR"/>
          <w:sz w:val="26"/>
          <w:szCs w:val="26"/>
        </w:rPr>
        <w:t xml:space="preserve">бору вида транспортных средств, условия и сроки хранения материалов и документации должны соответствовать требованиям, указанным в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ГОСТ 23118-2018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продукции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 </w:t>
      </w:r>
      <w:r>
        <w:rPr>
          <w:rFonts w:ascii="Times New Roman CYR" w:hAnsi="Times New Roman CYR" w:cs="Times New Roman CYR"/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</w:t>
      </w:r>
      <w:r>
        <w:rPr>
          <w:rFonts w:ascii="Times New Roman CYR" w:hAnsi="Times New Roman CYR" w:cs="Times New Roman CYR"/>
          <w:sz w:val="26"/>
          <w:szCs w:val="26"/>
        </w:rPr>
        <w:t xml:space="preserve">ставку.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>
        <w:rPr>
          <w:rFonts w:ascii="Times New Roman" w:hAnsi="Times New Roman"/>
          <w:sz w:val="26"/>
          <w:szCs w:val="26"/>
        </w:rPr>
        <w:t xml:space="preserve"> в течение 30 календар</w:t>
      </w:r>
      <w:r>
        <w:rPr>
          <w:rFonts w:ascii="Times New Roman" w:hAnsi="Times New Roman"/>
          <w:sz w:val="26"/>
          <w:szCs w:val="26"/>
        </w:rPr>
        <w:t xml:space="preserve">ных дней от даты заключения договора.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.1 Цена, </w:t>
      </w:r>
      <w:r>
        <w:rPr>
          <w:rFonts w:ascii="Times New Roman" w:hAnsi="Times New Roman" w:eastAsia="Times New Roman"/>
          <w:sz w:val="26"/>
          <w:szCs w:val="26"/>
        </w:rPr>
        <w:t xml:space="preserve">перечень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и объемы поставки указаны в приложении 1.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3.2.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 продукции 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, стоимость тары и упаковки, гарантийные обязательства.</w:t>
      </w:r>
      <w:r>
        <w:rPr>
          <w:rFonts w:ascii="Times New Roman CYR" w:hAnsi="Times New Roman CYR" w:cs="Times New Roman CYR"/>
          <w:i/>
          <w:sz w:val="26"/>
          <w:szCs w:val="26"/>
        </w:rPr>
      </w:r>
      <w:r>
        <w:rPr>
          <w:rFonts w:ascii="Times New Roman CYR" w:hAnsi="Times New Roman CYR" w:cs="Times New Roman CYR"/>
          <w:i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4.1</w:t>
        <w:tab/>
        <w:t xml:space="preserve">Поставляемая продукция должна быть изготовлена в год поставки или предшествующ</w:t>
      </w:r>
      <w:r>
        <w:rPr>
          <w:rFonts w:ascii="Times New Roman CYR" w:hAnsi="Times New Roman CYR" w:cs="Times New Roman CYR"/>
          <w:sz w:val="26"/>
          <w:szCs w:val="26"/>
        </w:rPr>
        <w:t xml:space="preserve">ий ему и быть ранее не использованной;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4.2</w:t>
      </w:r>
      <w:r>
        <w:rPr>
          <w:rFonts w:ascii="Times New Roman CYR" w:hAnsi="Times New Roman CYR" w:cs="Times New Roman CYR"/>
          <w:sz w:val="26"/>
          <w:szCs w:val="26"/>
        </w:rPr>
        <w:t xml:space="preserve">. Поставляемая продукция должна соответствовать требованиям Положения ПАО «Россети» о единой технической политике в электросетевом </w:t>
      </w:r>
      <w:r>
        <w:rPr>
          <w:rFonts w:ascii="Times New Roman CYR" w:hAnsi="Times New Roman CYR" w:cs="Times New Roman CYR"/>
          <w:sz w:val="26"/>
          <w:szCs w:val="26"/>
        </w:rPr>
        <w:t xml:space="preserve">комплексе.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</w:t>
      </w:r>
      <w:r>
        <w:rPr>
          <w:rFonts w:ascii="Times New Roman CYR" w:hAnsi="Times New Roman CYR" w:cs="Times New Roman CYR"/>
          <w:sz w:val="26"/>
          <w:szCs w:val="26"/>
        </w:rPr>
        <w:t xml:space="preserve">3</w:t>
      </w:r>
      <w:r>
        <w:rPr>
          <w:rFonts w:ascii="Times New Roman CYR" w:hAnsi="Times New Roman CYR" w:cs="Times New Roman CYR"/>
          <w:sz w:val="26"/>
          <w:szCs w:val="26"/>
        </w:rPr>
        <w:t xml:space="preserve">. Оборудование должно соответствовать требованиям: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положения о единой технической политике в электросетевом комплексе РФ;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металлоизделия, используемые в качестве конструктивных элементов, соответствуют ГОСТам;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иметь устойчивое антико</w:t>
      </w:r>
      <w:r>
        <w:rPr>
          <w:rFonts w:ascii="Times New Roman CYR" w:hAnsi="Times New Roman CYR" w:cs="Times New Roman CYR"/>
          <w:sz w:val="26"/>
          <w:szCs w:val="26"/>
        </w:rPr>
        <w:t xml:space="preserve">ррозионное покрытие;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стальные детали железобетонных опор и </w:t>
      </w:r>
      <w:r>
        <w:rPr>
          <w:rFonts w:ascii="Times New Roman CYR" w:hAnsi="Times New Roman CYR" w:cs="Times New Roman CYR"/>
          <w:sz w:val="26"/>
          <w:szCs w:val="26"/>
        </w:rPr>
        <w:t xml:space="preserve">конструкций, металлоконструкции фундаментов, U-образные болты, крепежные изделия должны быть защищены от коррозии;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оборудование должно соответствовать чертежам, артикулам, назначению;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обор</w:t>
      </w:r>
      <w:r>
        <w:rPr>
          <w:rFonts w:ascii="Times New Roman CYR" w:hAnsi="Times New Roman CYR" w:cs="Times New Roman CYR"/>
          <w:sz w:val="26"/>
          <w:szCs w:val="26"/>
        </w:rPr>
        <w:t xml:space="preserve">удование должно быть применимо без доработок и/или изменений при установке/монтаже.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 CYR" w:hAnsi="Times New Roman CYR" w:cs="Times New Roman CYR"/>
          <w:sz w:val="26"/>
          <w:szCs w:val="26"/>
        </w:rPr>
        <w:t xml:space="preserve">. 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</w:t>
      </w:r>
      <w:r>
        <w:rPr>
          <w:rFonts w:ascii="Times New Roman CYR" w:hAnsi="Times New Roman CYR" w:cs="Times New Roman CYR"/>
          <w:sz w:val="26"/>
          <w:szCs w:val="26"/>
        </w:rPr>
        <w:t xml:space="preserve">5.</w:t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Вся </w:t>
      </w:r>
      <w:r>
        <w:rPr>
          <w:rFonts w:ascii="Times New Roman CYR" w:hAnsi="Times New Roman CYR" w:cs="Times New Roman CYR"/>
          <w:sz w:val="26"/>
          <w:szCs w:val="26"/>
        </w:rPr>
        <w:t xml:space="preserve">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4.6</w:t>
      </w:r>
      <w:r>
        <w:rPr>
          <w:rFonts w:ascii="Times New Roman CYR" w:hAnsi="Times New Roman CYR" w:cs="Times New Roman CYR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 полной информацией о про</w:t>
      </w:r>
      <w:r>
        <w:rPr>
          <w:rFonts w:ascii="Times New Roman CYR" w:hAnsi="Times New Roman CYR" w:cs="Times New Roman CYR"/>
          <w:sz w:val="26"/>
          <w:szCs w:val="26"/>
        </w:rPr>
        <w:t xml:space="preserve">дукции (наименование изготовителя, номер партии, дата изготовления, требования безопасности, срок годности, дата выпуска, состав и т.д.).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</w:t>
      </w:r>
      <w:r>
        <w:rPr>
          <w:rFonts w:ascii="Times New Roman CYR" w:hAnsi="Times New Roman CYR" w:cs="Times New Roman CYR"/>
          <w:sz w:val="26"/>
          <w:szCs w:val="26"/>
        </w:rPr>
        <w:t xml:space="preserve">ная часть выполняться на русском языке, иметь четкие обозначения и сохраняться на весь срок службы поставляемой продукции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</w:t>
      </w:r>
      <w:r>
        <w:rPr>
          <w:rFonts w:ascii="Times New Roman CYR" w:hAnsi="Times New Roman CYR" w:cs="Times New Roman CYR"/>
          <w:sz w:val="26"/>
          <w:szCs w:val="26"/>
        </w:rPr>
        <w:t xml:space="preserve">7</w:t>
      </w:r>
      <w:r>
        <w:rPr>
          <w:rFonts w:ascii="Times New Roman CYR" w:hAnsi="Times New Roman CYR" w:cs="Times New Roman CYR"/>
          <w:sz w:val="26"/>
          <w:szCs w:val="26"/>
        </w:rPr>
        <w:t xml:space="preserve">. Продукция должна обеспечиваться необходимой технической документацией на русском языке: паспорт изделия, инструкция по эксплуатац</w:t>
      </w:r>
      <w:r>
        <w:rPr>
          <w:rFonts w:ascii="Times New Roman CYR" w:hAnsi="Times New Roman CYR" w:cs="Times New Roman CYR"/>
          <w:sz w:val="26"/>
          <w:szCs w:val="26"/>
        </w:rPr>
        <w:t xml:space="preserve">ии и т.д.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4.8.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5</w:t>
      </w:r>
      <w:r>
        <w:rPr>
          <w:rFonts w:ascii="Times New Roman CYR" w:hAnsi="Times New Roman CYR" w:cs="Times New Roman CYR"/>
          <w:b/>
          <w:sz w:val="26"/>
          <w:szCs w:val="26"/>
        </w:rPr>
        <w:t xml:space="preserve">. Гарантийные обязательства.</w:t>
      </w:r>
      <w:r>
        <w:rPr>
          <w:rFonts w:ascii="Times New Roman CYR" w:hAnsi="Times New Roman CYR" w:cs="Times New Roman CYR"/>
          <w:b/>
          <w:sz w:val="26"/>
          <w:szCs w:val="26"/>
        </w:rPr>
      </w:r>
      <w:r>
        <w:rPr>
          <w:rFonts w:ascii="Times New Roman CYR" w:hAnsi="Times New Roman CYR" w:cs="Times New Roman CYR"/>
          <w:b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поставляемую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продукцию должен быть не мене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60 месяцев</w:t>
      </w:r>
      <w:r>
        <w:rPr>
          <w:rFonts w:ascii="Times New Roman CYR" w:hAnsi="Times New Roman CYR" w:cs="Times New Roman CYR"/>
          <w:sz w:val="26"/>
          <w:szCs w:val="26"/>
        </w:rPr>
        <w:t xml:space="preserve">. Время начала исчисления гарантийного срока –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 момента приемки продукции Заказчиком.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материалах, выявленные в течение гарантийного срока.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pStyle w:val="839"/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. 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зак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онодательством Российской Федерации (ст.513 ГК РФ) и условиям Договора.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осмотр тары и упаковки: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</w:t>
      </w:r>
      <w:r>
        <w:rPr>
          <w:rFonts w:ascii="Times New Roman" w:hAnsi="Times New Roman" w:eastAsia="Times New Roman"/>
          <w:sz w:val="26"/>
          <w:szCs w:val="26"/>
        </w:rPr>
        <w:t xml:space="preserve">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</w:t>
      </w:r>
      <w:r>
        <w:rPr>
          <w:rFonts w:ascii="Times New Roman" w:hAnsi="Times New Roman" w:eastAsia="Times New Roman"/>
          <w:sz w:val="26"/>
          <w:szCs w:val="26"/>
        </w:rPr>
        <w:t xml:space="preserve">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39"/>
        <w:ind w:firstLine="708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top"/>
            <w:textDirection w:val="lrTb"/>
            <w:noWrap w:val="false"/>
          </w:tcPr>
          <w:p>
            <w:pPr>
              <w:pStyle w:val="83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УИиКС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3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Шатохин Д.В.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ТОиРОЭХ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Отдела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и 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3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Шмидгаль А.Ю.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</w:tbl>
    <w:p>
      <w:pPr>
        <w:pStyle w:val="839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sectPr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9"/>
    <w:next w:val="839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9"/>
    <w:next w:val="839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9"/>
    <w:next w:val="839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9"/>
    <w:next w:val="839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9"/>
    <w:next w:val="839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9"/>
    <w:next w:val="839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9"/>
    <w:next w:val="839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9"/>
    <w:next w:val="839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9"/>
    <w:next w:val="839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No Spacing"/>
    <w:uiPriority w:val="1"/>
    <w:qFormat/>
    <w:pPr>
      <w:spacing w:before="0" w:after="0" w:line="240" w:lineRule="auto"/>
    </w:pPr>
  </w:style>
  <w:style w:type="paragraph" w:styleId="681">
    <w:name w:val="Title"/>
    <w:basedOn w:val="839"/>
    <w:next w:val="839"/>
    <w:link w:val="6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2">
    <w:name w:val="Title Char"/>
    <w:link w:val="681"/>
    <w:uiPriority w:val="10"/>
    <w:rPr>
      <w:sz w:val="48"/>
      <w:szCs w:val="48"/>
    </w:rPr>
  </w:style>
  <w:style w:type="paragraph" w:styleId="683">
    <w:name w:val="Subtitle"/>
    <w:basedOn w:val="839"/>
    <w:next w:val="839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link w:val="683"/>
    <w:uiPriority w:val="11"/>
    <w:rPr>
      <w:sz w:val="24"/>
      <w:szCs w:val="24"/>
    </w:rPr>
  </w:style>
  <w:style w:type="paragraph" w:styleId="685">
    <w:name w:val="Quote"/>
    <w:basedOn w:val="839"/>
    <w:next w:val="839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9"/>
    <w:next w:val="839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839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link w:val="689"/>
    <w:uiPriority w:val="99"/>
  </w:style>
  <w:style w:type="paragraph" w:styleId="691">
    <w:name w:val="Footer"/>
    <w:basedOn w:val="839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link w:val="691"/>
    <w:uiPriority w:val="99"/>
  </w:style>
  <w:style w:type="paragraph" w:styleId="693">
    <w:name w:val="Caption"/>
    <w:basedOn w:val="839"/>
    <w:next w:val="8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691"/>
    <w:uiPriority w:val="99"/>
  </w:style>
  <w:style w:type="table" w:styleId="6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839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next w:val="839"/>
    <w:link w:val="839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40">
    <w:name w:val="Основной шрифт абзаца"/>
    <w:next w:val="840"/>
    <w:link w:val="839"/>
    <w:uiPriority w:val="1"/>
    <w:unhideWhenUsed/>
  </w:style>
  <w:style w:type="table" w:styleId="841">
    <w:name w:val="Обычная таблица"/>
    <w:next w:val="841"/>
    <w:link w:val="839"/>
    <w:uiPriority w:val="99"/>
    <w:semiHidden/>
    <w:unhideWhenUsed/>
    <w:qFormat/>
    <w:tblPr/>
  </w:style>
  <w:style w:type="numbering" w:styleId="842">
    <w:name w:val="Нет списка"/>
    <w:next w:val="842"/>
    <w:link w:val="839"/>
    <w:uiPriority w:val="99"/>
    <w:semiHidden/>
    <w:unhideWhenUsed/>
  </w:style>
  <w:style w:type="table" w:styleId="843">
    <w:name w:val="Сетка таблицы"/>
    <w:basedOn w:val="841"/>
    <w:next w:val="843"/>
    <w:link w:val="839"/>
    <w:uiPriority w:val="59"/>
    <w:pPr>
      <w:spacing w:after="0" w:line="240" w:lineRule="auto"/>
    </w:pPr>
    <w:tblPr/>
  </w:style>
  <w:style w:type="paragraph" w:styleId="844">
    <w:name w:val="List Paragraph"/>
    <w:basedOn w:val="839"/>
    <w:next w:val="844"/>
    <w:link w:val="839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45">
    <w:name w:val="Основной текст с отступом"/>
    <w:basedOn w:val="839"/>
    <w:next w:val="845"/>
    <w:link w:val="846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 w:eastAsia="en-US"/>
    </w:rPr>
  </w:style>
  <w:style w:type="character" w:styleId="846">
    <w:name w:val="Основной текст с отступом Знак"/>
    <w:next w:val="846"/>
    <w:link w:val="845"/>
    <w:rPr>
      <w:rFonts w:ascii="Times New Roman" w:hAnsi="Times New Roman" w:eastAsia="Times New Roman"/>
      <w:sz w:val="24"/>
      <w:szCs w:val="24"/>
    </w:rPr>
  </w:style>
  <w:style w:type="paragraph" w:styleId="847">
    <w:name w:val="Текст выноски"/>
    <w:basedOn w:val="839"/>
    <w:next w:val="847"/>
    <w:link w:val="848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48">
    <w:name w:val="Текст выноски Знак"/>
    <w:next w:val="848"/>
    <w:link w:val="847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49">
    <w:name w:val="Стиль3"/>
    <w:basedOn w:val="839"/>
    <w:next w:val="849"/>
    <w:link w:val="850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 w:eastAsia="en-US"/>
    </w:rPr>
  </w:style>
  <w:style w:type="character" w:styleId="850">
    <w:name w:val="Стиль3 Знак"/>
    <w:next w:val="850"/>
    <w:link w:val="849"/>
    <w:rPr>
      <w:rFonts w:ascii="Arial" w:hAnsi="Arial" w:eastAsia="Times New Roman" w:cs="Arial"/>
      <w:sz w:val="22"/>
      <w:szCs w:val="22"/>
    </w:rPr>
  </w:style>
  <w:style w:type="paragraph" w:styleId="851">
    <w:name w:val="Верхний колонтитул"/>
    <w:basedOn w:val="839"/>
    <w:next w:val="851"/>
    <w:link w:val="852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52">
    <w:name w:val="Верхний колонтитул Знак"/>
    <w:next w:val="852"/>
    <w:link w:val="851"/>
    <w:uiPriority w:val="99"/>
    <w:rPr>
      <w:sz w:val="22"/>
      <w:szCs w:val="22"/>
      <w:lang w:eastAsia="en-US"/>
    </w:rPr>
  </w:style>
  <w:style w:type="paragraph" w:styleId="853">
    <w:name w:val="Нижний колонтитул"/>
    <w:basedOn w:val="839"/>
    <w:next w:val="853"/>
    <w:link w:val="854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54">
    <w:name w:val="Нижний колонтитул Знак"/>
    <w:next w:val="854"/>
    <w:link w:val="853"/>
    <w:uiPriority w:val="99"/>
    <w:rPr>
      <w:sz w:val="22"/>
      <w:szCs w:val="22"/>
      <w:lang w:eastAsia="en-US"/>
    </w:rPr>
  </w:style>
  <w:style w:type="character" w:styleId="855">
    <w:name w:val="Font Style39"/>
    <w:next w:val="855"/>
    <w:link w:val="8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56">
    <w:name w:val="Знак примечания"/>
    <w:next w:val="856"/>
    <w:link w:val="839"/>
    <w:uiPriority w:val="99"/>
    <w:semiHidden/>
    <w:unhideWhenUsed/>
    <w:rPr>
      <w:sz w:val="16"/>
      <w:szCs w:val="16"/>
    </w:rPr>
  </w:style>
  <w:style w:type="paragraph" w:styleId="857">
    <w:name w:val="Текст примечания"/>
    <w:basedOn w:val="839"/>
    <w:next w:val="857"/>
    <w:link w:val="858"/>
    <w:uiPriority w:val="99"/>
    <w:semiHidden/>
    <w:unhideWhenUsed/>
    <w:rPr>
      <w:sz w:val="20"/>
      <w:szCs w:val="20"/>
      <w:lang w:val="en-US"/>
    </w:rPr>
  </w:style>
  <w:style w:type="character" w:styleId="858">
    <w:name w:val="Текст примечания Знак"/>
    <w:next w:val="858"/>
    <w:link w:val="857"/>
    <w:uiPriority w:val="99"/>
    <w:semiHidden/>
    <w:rPr>
      <w:lang w:eastAsia="en-US"/>
    </w:rPr>
  </w:style>
  <w:style w:type="paragraph" w:styleId="859">
    <w:name w:val="Тема примечания"/>
    <w:basedOn w:val="857"/>
    <w:next w:val="857"/>
    <w:link w:val="860"/>
    <w:uiPriority w:val="99"/>
    <w:semiHidden/>
    <w:unhideWhenUsed/>
    <w:rPr>
      <w:b/>
      <w:bCs/>
    </w:rPr>
  </w:style>
  <w:style w:type="character" w:styleId="860">
    <w:name w:val="Тема примечания Знак"/>
    <w:next w:val="860"/>
    <w:link w:val="859"/>
    <w:uiPriority w:val="99"/>
    <w:semiHidden/>
    <w:rPr>
      <w:b/>
      <w:bCs/>
      <w:lang w:eastAsia="en-US"/>
    </w:rPr>
  </w:style>
  <w:style w:type="paragraph" w:styleId="861">
    <w:name w:val="Абзац списка"/>
    <w:basedOn w:val="839"/>
    <w:next w:val="861"/>
    <w:link w:val="839"/>
    <w:uiPriority w:val="34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2">
    <w:name w:val="Текст"/>
    <w:basedOn w:val="839"/>
    <w:next w:val="862"/>
    <w:link w:val="863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863">
    <w:name w:val="Текст Знак"/>
    <w:next w:val="863"/>
    <w:link w:val="862"/>
    <w:uiPriority w:val="99"/>
    <w:rPr>
      <w:rFonts w:eastAsia="Times New Roman" w:cs="Times New Roman"/>
      <w:sz w:val="22"/>
      <w:szCs w:val="21"/>
      <w:lang w:eastAsia="en-US"/>
    </w:rPr>
  </w:style>
  <w:style w:type="character" w:styleId="864">
    <w:name w:val="Слабая ссылка"/>
    <w:next w:val="864"/>
    <w:link w:val="839"/>
    <w:uiPriority w:val="31"/>
    <w:qFormat/>
    <w:rPr>
      <w:smallCaps/>
      <w:color w:val="c0504d"/>
      <w:u w:val="single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12</cp:revision>
  <dcterms:created xsi:type="dcterms:W3CDTF">2023-09-28T04:53:00Z</dcterms:created>
  <dcterms:modified xsi:type="dcterms:W3CDTF">2025-04-01T13:10:09Z</dcterms:modified>
  <cp:version>1048576</cp:version>
</cp:coreProperties>
</file>